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10.79999999999995" w:lineRule="auto"/>
        <w:ind w:left="600" w:right="600" w:firstLine="0"/>
        <w:jc w:val="both"/>
        <w:rPr>
          <w:b w:val="1"/>
          <w:sz w:val="28"/>
          <w:szCs w:val="28"/>
        </w:rPr>
      </w:pPr>
      <w:r w:rsidDel="00000000" w:rsidR="00000000" w:rsidRPr="00000000">
        <w:rPr>
          <w:b w:val="1"/>
          <w:sz w:val="28"/>
          <w:szCs w:val="28"/>
          <w:rtl w:val="0"/>
        </w:rPr>
        <w:t xml:space="preserve">Service Level Agreement for the repository</w:t>
      </w:r>
    </w:p>
    <w:p w:rsidR="00000000" w:rsidDel="00000000" w:rsidP="00000000" w:rsidRDefault="00000000" w:rsidRPr="00000000" w14:paraId="00000002">
      <w:pPr>
        <w:pStyle w:val="Heading1"/>
        <w:rPr/>
      </w:pPr>
      <w:bookmarkStart w:colFirst="0" w:colLast="0" w:name="_rctxyqm973od" w:id="0"/>
      <w:bookmarkEnd w:id="0"/>
      <w:r w:rsidDel="00000000" w:rsidR="00000000" w:rsidRPr="00000000">
        <w:rPr>
          <w:rtl w:val="0"/>
        </w:rPr>
        <w:t xml:space="preserve">The Service and Access</w:t>
      </w:r>
    </w:p>
    <w:p w:rsidR="00000000" w:rsidDel="00000000" w:rsidP="00000000" w:rsidRDefault="00000000" w:rsidRPr="00000000" w14:paraId="00000003">
      <w:pPr>
        <w:spacing w:after="120" w:line="310.79999999999995" w:lineRule="auto"/>
        <w:ind w:left="600" w:right="600" w:firstLine="0"/>
        <w:jc w:val="both"/>
        <w:rPr>
          <w:sz w:val="24"/>
          <w:szCs w:val="24"/>
        </w:rPr>
      </w:pPr>
      <w:r w:rsidDel="00000000" w:rsidR="00000000" w:rsidRPr="00000000">
        <w:rPr>
          <w:sz w:val="24"/>
          <w:szCs w:val="24"/>
          <w:rtl w:val="0"/>
        </w:rPr>
        <w:t xml:space="preserve">The services of the </w:t>
      </w:r>
      <w:r w:rsidDel="00000000" w:rsidR="00000000" w:rsidRPr="00000000">
        <w:rPr>
          <w:sz w:val="24"/>
          <w:szCs w:val="24"/>
          <w:highlight w:val="yellow"/>
          <w:rtl w:val="0"/>
        </w:rPr>
        <w:t xml:space="preserve">&lt;NAME OF THE PROVIDER NODE&gt;</w:t>
      </w:r>
      <w:r w:rsidDel="00000000" w:rsidR="00000000" w:rsidRPr="00000000">
        <w:rPr>
          <w:sz w:val="24"/>
          <w:szCs w:val="24"/>
          <w:rtl w:val="0"/>
        </w:rPr>
        <w:t xml:space="preserve"> are provided by the </w:t>
      </w:r>
      <w:r w:rsidDel="00000000" w:rsidR="00000000" w:rsidRPr="00000000">
        <w:rPr>
          <w:sz w:val="24"/>
          <w:szCs w:val="24"/>
          <w:highlight w:val="yellow"/>
          <w:rtl w:val="0"/>
        </w:rPr>
        <w:t xml:space="preserve">&lt;NAME OF THE INSTITUTION&gt;</w:t>
      </w:r>
      <w:r w:rsidDel="00000000" w:rsidR="00000000" w:rsidRPr="00000000">
        <w:rPr>
          <w:sz w:val="24"/>
          <w:szCs w:val="24"/>
          <w:rtl w:val="0"/>
        </w:rPr>
        <w:t xml:space="preserve"> (“the Provider”). This clause defines the Level Service Level Agreement (SLA), valid for the services of the </w:t>
      </w:r>
      <w:r w:rsidDel="00000000" w:rsidR="00000000" w:rsidRPr="00000000">
        <w:rPr>
          <w:sz w:val="24"/>
          <w:szCs w:val="24"/>
          <w:highlight w:val="yellow"/>
          <w:rtl w:val="0"/>
        </w:rPr>
        <w:t xml:space="preserve">&lt;NAME OF THE PROVIDER NODE&gt; </w:t>
      </w:r>
      <w:r w:rsidDel="00000000" w:rsidR="00000000" w:rsidRPr="00000000">
        <w:rPr>
          <w:sz w:val="24"/>
          <w:szCs w:val="24"/>
          <w:rtl w:val="0"/>
        </w:rPr>
        <w:t xml:space="preserve">provided to support the access and processing of the data held in this node in the context of the EUCAIM Infrastructure.</w:t>
      </w:r>
    </w:p>
    <w:p w:rsidR="00000000" w:rsidDel="00000000" w:rsidP="00000000" w:rsidRDefault="00000000" w:rsidRPr="00000000" w14:paraId="00000004">
      <w:pPr>
        <w:spacing w:after="120" w:line="310.79999999999995" w:lineRule="auto"/>
        <w:ind w:left="600" w:right="600" w:firstLine="0"/>
        <w:jc w:val="both"/>
        <w:rPr>
          <w:sz w:val="24"/>
          <w:szCs w:val="24"/>
        </w:rPr>
      </w:pPr>
      <w:r w:rsidDel="00000000" w:rsidR="00000000" w:rsidRPr="00000000">
        <w:rPr>
          <w:sz w:val="24"/>
          <w:szCs w:val="24"/>
          <w:rtl w:val="0"/>
        </w:rPr>
        <w:t xml:space="preserve">The provider commits to the EUCAIM Infrastructure through the </w:t>
      </w:r>
      <w:r w:rsidDel="00000000" w:rsidR="00000000" w:rsidRPr="00000000">
        <w:rPr>
          <w:sz w:val="24"/>
          <w:szCs w:val="24"/>
          <w:highlight w:val="yellow"/>
          <w:rtl w:val="0"/>
        </w:rPr>
        <w:t xml:space="preserve">&lt;NAME OF THE PROVIDER NODE&gt;</w:t>
      </w:r>
      <w:r w:rsidDel="00000000" w:rsidR="00000000" w:rsidRPr="00000000">
        <w:rPr>
          <w:sz w:val="24"/>
          <w:szCs w:val="24"/>
          <w:rtl w:val="0"/>
        </w:rPr>
        <w:t xml:space="preserve"> the following resources:</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320" w:right="600" w:hanging="360"/>
        <w:jc w:val="both"/>
        <w:rPr>
          <w:sz w:val="24"/>
          <w:szCs w:val="24"/>
          <w:highlight w:val="yellow"/>
        </w:rPr>
      </w:pPr>
      <w:r w:rsidDel="00000000" w:rsidR="00000000" w:rsidRPr="00000000">
        <w:rPr>
          <w:sz w:val="24"/>
          <w:szCs w:val="24"/>
          <w:highlight w:val="yellow"/>
          <w:rtl w:val="0"/>
        </w:rPr>
        <w:t xml:space="preserve">&lt;NUMBER AND TYPE OF GPUs&gt;</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320" w:right="600" w:hanging="360"/>
        <w:jc w:val="both"/>
        <w:rPr>
          <w:sz w:val="24"/>
          <w:szCs w:val="24"/>
          <w:highlight w:val="yellow"/>
        </w:rPr>
      </w:pPr>
      <w:r w:rsidDel="00000000" w:rsidR="00000000" w:rsidRPr="00000000">
        <w:rPr>
          <w:sz w:val="24"/>
          <w:szCs w:val="24"/>
          <w:highlight w:val="yellow"/>
          <w:rtl w:val="0"/>
        </w:rPr>
        <w:t xml:space="preserve">&lt;NUMBER AND TYPE OF CPU CORES&gt;</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320" w:right="600" w:hanging="360"/>
        <w:jc w:val="both"/>
        <w:rPr>
          <w:sz w:val="24"/>
          <w:szCs w:val="24"/>
          <w:highlight w:val="yellow"/>
        </w:rPr>
      </w:pPr>
      <w:r w:rsidDel="00000000" w:rsidR="00000000" w:rsidRPr="00000000">
        <w:rPr>
          <w:sz w:val="24"/>
          <w:szCs w:val="24"/>
          <w:highlight w:val="yellow"/>
          <w:rtl w:val="0"/>
        </w:rPr>
        <w:t xml:space="preserve">&lt;RAM MEMORY&gt;</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320" w:right="600" w:hanging="360"/>
        <w:jc w:val="both"/>
        <w:rPr>
          <w:sz w:val="24"/>
          <w:szCs w:val="24"/>
          <w:highlight w:val="yellow"/>
        </w:rPr>
      </w:pPr>
      <w:r w:rsidDel="00000000" w:rsidR="00000000" w:rsidRPr="00000000">
        <w:rPr>
          <w:sz w:val="24"/>
          <w:szCs w:val="24"/>
          <w:highlight w:val="yellow"/>
          <w:rtl w:val="0"/>
        </w:rPr>
        <w:t xml:space="preserve">&lt;PERSISTENT STORAGE&gt;</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320" w:right="600" w:hanging="360"/>
        <w:jc w:val="both"/>
        <w:rPr>
          <w:sz w:val="24"/>
          <w:szCs w:val="24"/>
          <w:highlight w:val="yellow"/>
        </w:rPr>
      </w:pPr>
      <w:r w:rsidDel="00000000" w:rsidR="00000000" w:rsidRPr="00000000">
        <w:rPr>
          <w:sz w:val="24"/>
          <w:szCs w:val="24"/>
          <w:highlight w:val="yellow"/>
          <w:rtl w:val="0"/>
        </w:rPr>
        <w:t xml:space="preserve">&lt;ANY OTHER RELEVANT EQUIPMENT&gt;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0.79999999999995" w:lineRule="auto"/>
        <w:ind w:left="600" w:right="600" w:firstLine="0"/>
        <w:jc w:val="both"/>
        <w:rPr>
          <w:sz w:val="24"/>
          <w:szCs w:val="24"/>
        </w:rPr>
      </w:pPr>
      <w:r w:rsidDel="00000000" w:rsidR="00000000" w:rsidRPr="00000000">
        <w:rPr>
          <w:sz w:val="24"/>
          <w:szCs w:val="24"/>
          <w:rtl w:val="0"/>
        </w:rPr>
        <w:t xml:space="preserve">Resources that will be shared among the users and provided “as available”.</w:t>
      </w:r>
    </w:p>
    <w:p w:rsidR="00000000" w:rsidDel="00000000" w:rsidP="00000000" w:rsidRDefault="00000000" w:rsidRPr="00000000" w14:paraId="0000000B">
      <w:pPr>
        <w:spacing w:after="120" w:line="310.79999999999995" w:lineRule="auto"/>
        <w:ind w:left="600" w:right="600" w:firstLine="0"/>
        <w:jc w:val="both"/>
        <w:rPr>
          <w:sz w:val="24"/>
          <w:szCs w:val="24"/>
        </w:rPr>
      </w:pPr>
      <w:r w:rsidDel="00000000" w:rsidR="00000000" w:rsidRPr="00000000">
        <w:rPr>
          <w:sz w:val="24"/>
          <w:szCs w:val="24"/>
          <w:rtl w:val="0"/>
        </w:rPr>
        <w:t xml:space="preserve">The access to the repository will include </w:t>
      </w:r>
      <w:r w:rsidDel="00000000" w:rsidR="00000000" w:rsidRPr="00000000">
        <w:rPr>
          <w:sz w:val="24"/>
          <w:szCs w:val="24"/>
          <w:highlight w:val="yellow"/>
          <w:rtl w:val="0"/>
        </w:rPr>
        <w:t xml:space="preserve">&lt;REMOVE THE CONDITIONS THAT ARE NOT FULFILLED&gt;</w:t>
      </w:r>
      <w:r w:rsidDel="00000000" w:rsidR="00000000" w:rsidRPr="00000000">
        <w:rPr>
          <w:sz w:val="24"/>
          <w:szCs w:val="24"/>
          <w:rtl w:val="0"/>
        </w:rPr>
        <w:t xml:space="preserve">:</w:t>
      </w:r>
    </w:p>
    <w:p w:rsidR="00000000" w:rsidDel="00000000" w:rsidP="00000000" w:rsidRDefault="00000000" w:rsidRPr="00000000" w14:paraId="0000000C">
      <w:pPr>
        <w:numPr>
          <w:ilvl w:val="0"/>
          <w:numId w:val="5"/>
        </w:numPr>
        <w:ind w:left="1320" w:right="600" w:hanging="360"/>
        <w:jc w:val="both"/>
        <w:rPr>
          <w:sz w:val="24"/>
          <w:szCs w:val="24"/>
        </w:rPr>
      </w:pPr>
      <w:r w:rsidDel="00000000" w:rsidR="00000000" w:rsidRPr="00000000">
        <w:rPr>
          <w:sz w:val="24"/>
          <w:szCs w:val="24"/>
          <w:rtl w:val="0"/>
        </w:rPr>
        <w:t xml:space="preserve">Tier 1 compliance: Availability of a FAIR Data Point entry per dataset providing the metadata information of each dataset in RDF format and following the specification of the EUCAIM Hyperontology.</w:t>
      </w:r>
    </w:p>
    <w:p w:rsidR="00000000" w:rsidDel="00000000" w:rsidP="00000000" w:rsidRDefault="00000000" w:rsidRPr="00000000" w14:paraId="0000000D">
      <w:pPr>
        <w:numPr>
          <w:ilvl w:val="0"/>
          <w:numId w:val="5"/>
        </w:numPr>
        <w:ind w:left="1320" w:right="600" w:hanging="360"/>
        <w:jc w:val="both"/>
        <w:rPr>
          <w:sz w:val="24"/>
          <w:szCs w:val="24"/>
          <w:u w:val="none"/>
        </w:rPr>
      </w:pPr>
      <w:r w:rsidDel="00000000" w:rsidR="00000000" w:rsidRPr="00000000">
        <w:rPr>
          <w:sz w:val="24"/>
          <w:szCs w:val="24"/>
          <w:rtl w:val="0"/>
        </w:rPr>
        <w:t xml:space="preserve">Tier 2 compliance: Availability of a Federated Search mediator endpoint to query the information about the datasets in the </w:t>
      </w:r>
      <w:r w:rsidDel="00000000" w:rsidR="00000000" w:rsidRPr="00000000">
        <w:rPr>
          <w:sz w:val="24"/>
          <w:szCs w:val="24"/>
          <w:highlight w:val="yellow"/>
          <w:rtl w:val="0"/>
        </w:rPr>
        <w:t xml:space="preserve">&lt;NAME OF THE PROVIDER NODE&gt;</w:t>
      </w:r>
      <w:r w:rsidDel="00000000" w:rsidR="00000000" w:rsidRPr="00000000">
        <w:rPr>
          <w:sz w:val="24"/>
          <w:szCs w:val="24"/>
          <w:rtl w:val="0"/>
        </w:rPr>
        <w:t xml:space="preserve"> and connected to the EUCAIM Federated Search service.</w:t>
      </w:r>
    </w:p>
    <w:p w:rsidR="00000000" w:rsidDel="00000000" w:rsidP="00000000" w:rsidRDefault="00000000" w:rsidRPr="00000000" w14:paraId="0000000E">
      <w:pPr>
        <w:numPr>
          <w:ilvl w:val="0"/>
          <w:numId w:val="5"/>
        </w:numPr>
        <w:ind w:left="1320" w:right="600" w:hanging="360"/>
        <w:jc w:val="both"/>
        <w:rPr>
          <w:sz w:val="24"/>
          <w:szCs w:val="24"/>
          <w:u w:val="none"/>
        </w:rPr>
      </w:pPr>
      <w:r w:rsidDel="00000000" w:rsidR="00000000" w:rsidRPr="00000000">
        <w:rPr>
          <w:sz w:val="24"/>
          <w:szCs w:val="24"/>
          <w:rtl w:val="0"/>
        </w:rPr>
        <w:t xml:space="preserve">Tier 3 compliance:</w:t>
      </w:r>
    </w:p>
    <w:p w:rsidR="00000000" w:rsidDel="00000000" w:rsidP="00000000" w:rsidRDefault="00000000" w:rsidRPr="00000000" w14:paraId="0000000F">
      <w:pPr>
        <w:numPr>
          <w:ilvl w:val="1"/>
          <w:numId w:val="5"/>
        </w:numPr>
        <w:ind w:left="1984.251968503937" w:right="600" w:hanging="360"/>
        <w:jc w:val="both"/>
        <w:rPr>
          <w:sz w:val="24"/>
          <w:szCs w:val="24"/>
        </w:rPr>
      </w:pPr>
      <w:r w:rsidDel="00000000" w:rsidR="00000000" w:rsidRPr="00000000">
        <w:rPr>
          <w:sz w:val="24"/>
          <w:szCs w:val="24"/>
          <w:rtl w:val="0"/>
        </w:rPr>
        <w:t xml:space="preserve">Access to a virtual environment to browse and process (including GPUs and subject to the availability of the resources) the data that the user is authorised to access.</w:t>
      </w:r>
    </w:p>
    <w:p w:rsidR="00000000" w:rsidDel="00000000" w:rsidP="00000000" w:rsidRDefault="00000000" w:rsidRPr="00000000" w14:paraId="00000010">
      <w:pPr>
        <w:numPr>
          <w:ilvl w:val="1"/>
          <w:numId w:val="5"/>
        </w:numPr>
        <w:ind w:left="1984.251968503937" w:right="600" w:hanging="360"/>
        <w:jc w:val="both"/>
        <w:rPr>
          <w:sz w:val="24"/>
          <w:szCs w:val="24"/>
        </w:rPr>
      </w:pPr>
      <w:r w:rsidDel="00000000" w:rsidR="00000000" w:rsidRPr="00000000">
        <w:rPr>
          <w:sz w:val="24"/>
          <w:szCs w:val="24"/>
          <w:rtl w:val="0"/>
        </w:rPr>
        <w:t xml:space="preserve">Access to processing facilities through EUCAIM Federated Processing service.</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320" w:right="600" w:hanging="360"/>
        <w:jc w:val="both"/>
        <w:rPr>
          <w:sz w:val="24"/>
          <w:szCs w:val="24"/>
        </w:rPr>
      </w:pPr>
      <w:r w:rsidDel="00000000" w:rsidR="00000000" w:rsidRPr="00000000">
        <w:rPr>
          <w:sz w:val="24"/>
          <w:szCs w:val="24"/>
          <w:rtl w:val="0"/>
        </w:rPr>
        <w:t xml:space="preserve">Authentication and Authorization of users through LS-AAI, including a VO sub-group named </w:t>
      </w:r>
      <w:r w:rsidDel="00000000" w:rsidR="00000000" w:rsidRPr="00000000">
        <w:rPr>
          <w:sz w:val="24"/>
          <w:szCs w:val="24"/>
          <w:highlight w:val="yellow"/>
          <w:rtl w:val="0"/>
        </w:rPr>
        <w:t xml:space="preserve">&lt;NAME OF THE SUBGROUP&gt;</w:t>
      </w:r>
      <w:r w:rsidDel="00000000" w:rsidR="00000000" w:rsidRPr="00000000">
        <w:rPr>
          <w:sz w:val="24"/>
          <w:szCs w:val="24"/>
          <w:rtl w:val="0"/>
        </w:rPr>
        <w:t xml:space="preserve"> in the EUCAIM organisation. Authorisation could be delegated to the LS-AAI (LS-AAI will block users that do not belong to the subgroup) or implemented at the Data Holder’s AAI service based on the entitlements of the LS-AAI.</w:t>
      </w:r>
    </w:p>
    <w:p w:rsidR="00000000" w:rsidDel="00000000" w:rsidP="00000000" w:rsidRDefault="00000000" w:rsidRPr="00000000" w14:paraId="00000012">
      <w:pPr>
        <w:spacing w:after="120" w:line="310.79999999999995" w:lineRule="auto"/>
        <w:ind w:left="600" w:right="600" w:firstLine="0"/>
        <w:jc w:val="both"/>
        <w:rPr>
          <w:sz w:val="24"/>
          <w:szCs w:val="24"/>
        </w:rPr>
      </w:pPr>
      <w:r w:rsidDel="00000000" w:rsidR="00000000" w:rsidRPr="00000000">
        <w:rPr>
          <w:sz w:val="24"/>
          <w:szCs w:val="24"/>
          <w:rtl w:val="0"/>
        </w:rPr>
        <w:t xml:space="preserve">The use of the resources should be proportional and reasonable and could be revoked by the provider in case of misuse or abuse, or temporarily if an urgent request due to a public health emergency would require those resources.</w:t>
      </w:r>
    </w:p>
    <w:p w:rsidR="00000000" w:rsidDel="00000000" w:rsidP="00000000" w:rsidRDefault="00000000" w:rsidRPr="00000000" w14:paraId="00000013">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312" w:lineRule="auto"/>
        <w:ind w:left="600" w:right="600" w:firstLine="0"/>
        <w:jc w:val="both"/>
        <w:rPr/>
      </w:pPr>
      <w:bookmarkStart w:colFirst="0" w:colLast="0" w:name="_a84ahnfpts1k" w:id="1"/>
      <w:bookmarkEnd w:id="1"/>
      <w:r w:rsidDel="00000000" w:rsidR="00000000" w:rsidRPr="00000000">
        <w:rPr>
          <w:rtl w:val="0"/>
        </w:rPr>
        <w:t xml:space="preserve">Service Conditions</w:t>
      </w:r>
    </w:p>
    <w:p w:rsidR="00000000" w:rsidDel="00000000" w:rsidP="00000000" w:rsidRDefault="00000000" w:rsidRPr="00000000" w14:paraId="00000014">
      <w:pPr>
        <w:spacing w:after="120" w:line="310.79999999999995" w:lineRule="auto"/>
        <w:ind w:left="600" w:right="600" w:firstLine="0"/>
        <w:jc w:val="both"/>
        <w:rPr>
          <w:sz w:val="24"/>
          <w:szCs w:val="24"/>
        </w:rPr>
      </w:pPr>
      <w:r w:rsidDel="00000000" w:rsidR="00000000" w:rsidRPr="00000000">
        <w:rPr>
          <w:sz w:val="24"/>
          <w:szCs w:val="24"/>
          <w:rtl w:val="0"/>
        </w:rPr>
        <w:t xml:space="preserve">The service is in general delivered 24 hours per day, 7 days per week basis (i.e. 365 days or 8,760 hours), to seamlessly support operations. Planned and announced interruptions may reduce the effective operating time of service.</w:t>
      </w:r>
    </w:p>
    <w:p w:rsidR="00000000" w:rsidDel="00000000" w:rsidP="00000000" w:rsidRDefault="00000000" w:rsidRPr="00000000" w14:paraId="00000015">
      <w:pPr>
        <w:spacing w:after="0" w:before="120" w:line="312" w:lineRule="auto"/>
        <w:ind w:left="600" w:right="600" w:firstLine="0"/>
        <w:jc w:val="both"/>
        <w:rPr>
          <w:sz w:val="24"/>
          <w:szCs w:val="24"/>
        </w:rPr>
      </w:pPr>
      <w:r w:rsidDel="00000000" w:rsidR="00000000" w:rsidRPr="00000000">
        <w:rPr>
          <w:sz w:val="24"/>
          <w:szCs w:val="24"/>
          <w:rtl w:val="0"/>
        </w:rPr>
        <w:t xml:space="preserve">The following exceptions apply:</w:t>
      </w:r>
    </w:p>
    <w:p w:rsidR="00000000" w:rsidDel="00000000" w:rsidP="00000000" w:rsidRDefault="00000000" w:rsidRPr="00000000" w14:paraId="00000016">
      <w:pPr>
        <w:numPr>
          <w:ilvl w:val="0"/>
          <w:numId w:val="2"/>
        </w:numPr>
        <w:ind w:left="1320" w:right="600" w:hanging="360"/>
        <w:jc w:val="both"/>
        <w:rPr>
          <w:sz w:val="24"/>
          <w:szCs w:val="24"/>
        </w:rPr>
      </w:pPr>
      <w:r w:rsidDel="00000000" w:rsidR="00000000" w:rsidRPr="00000000">
        <w:rPr>
          <w:sz w:val="24"/>
          <w:szCs w:val="24"/>
          <w:rtl w:val="0"/>
        </w:rPr>
        <w:t xml:space="preserve">Users will be notified via e-mail in a timely manner, (i.e.  at least 72 hours before the start of the outage by e-mail), about the planned maintenance windows or service interruptions (“scheduled downtimes”).</w:t>
      </w:r>
    </w:p>
    <w:p w:rsidR="00000000" w:rsidDel="00000000" w:rsidP="00000000" w:rsidRDefault="00000000" w:rsidRPr="00000000" w14:paraId="00000017">
      <w:pPr>
        <w:numPr>
          <w:ilvl w:val="0"/>
          <w:numId w:val="2"/>
        </w:numPr>
        <w:ind w:left="1320" w:right="600" w:hanging="360"/>
        <w:jc w:val="both"/>
        <w:rPr>
          <w:sz w:val="24"/>
          <w:szCs w:val="24"/>
        </w:rPr>
      </w:pPr>
      <w:r w:rsidDel="00000000" w:rsidR="00000000" w:rsidRPr="00000000">
        <w:rPr>
          <w:sz w:val="24"/>
          <w:szCs w:val="24"/>
          <w:rtl w:val="0"/>
        </w:rPr>
        <w:t xml:space="preserve">Unplanned service interruptions will be accompanied by an explanation.</w:t>
      </w:r>
    </w:p>
    <w:p w:rsidR="00000000" w:rsidDel="00000000" w:rsidP="00000000" w:rsidRDefault="00000000" w:rsidRPr="00000000" w14:paraId="00000018">
      <w:pPr>
        <w:numPr>
          <w:ilvl w:val="0"/>
          <w:numId w:val="2"/>
        </w:numPr>
        <w:ind w:left="1320" w:right="600" w:hanging="360"/>
        <w:jc w:val="both"/>
        <w:rPr>
          <w:sz w:val="24"/>
          <w:szCs w:val="24"/>
        </w:rPr>
      </w:pPr>
      <w:r w:rsidDel="00000000" w:rsidR="00000000" w:rsidRPr="00000000">
        <w:rPr>
          <w:sz w:val="24"/>
          <w:szCs w:val="24"/>
          <w:rtl w:val="0"/>
        </w:rPr>
        <w:t xml:space="preserve">Downtime periods exceeding 48 hours need justification.</w:t>
      </w:r>
    </w:p>
    <w:p w:rsidR="00000000" w:rsidDel="00000000" w:rsidP="00000000" w:rsidRDefault="00000000" w:rsidRPr="00000000" w14:paraId="00000019">
      <w:pPr>
        <w:numPr>
          <w:ilvl w:val="0"/>
          <w:numId w:val="2"/>
        </w:numPr>
        <w:ind w:left="1320" w:right="600" w:hanging="360"/>
        <w:jc w:val="both"/>
        <w:rPr>
          <w:sz w:val="24"/>
          <w:szCs w:val="24"/>
        </w:rPr>
      </w:pPr>
      <w:r w:rsidDel="00000000" w:rsidR="00000000" w:rsidRPr="00000000">
        <w:rPr>
          <w:sz w:val="24"/>
          <w:szCs w:val="24"/>
          <w:rtl w:val="0"/>
        </w:rPr>
        <w:t xml:space="preserve">Human services are provided only during support hours.</w:t>
      </w:r>
    </w:p>
    <w:p w:rsidR="00000000" w:rsidDel="00000000" w:rsidP="00000000" w:rsidRDefault="00000000" w:rsidRPr="00000000" w14:paraId="0000001A">
      <w:pPr>
        <w:spacing w:after="0" w:before="120" w:line="312" w:lineRule="auto"/>
        <w:ind w:left="600" w:right="600" w:firstLine="0"/>
        <w:jc w:val="both"/>
        <w:rPr>
          <w:sz w:val="24"/>
          <w:szCs w:val="24"/>
        </w:rPr>
      </w:pPr>
      <w:r w:rsidDel="00000000" w:rsidR="00000000" w:rsidRPr="00000000">
        <w:rPr>
          <w:sz w:val="24"/>
          <w:szCs w:val="24"/>
          <w:rtl w:val="0"/>
        </w:rPr>
        <w:t xml:space="preserve">Support is available between</w:t>
      </w:r>
    </w:p>
    <w:p w:rsidR="00000000" w:rsidDel="00000000" w:rsidP="00000000" w:rsidRDefault="00000000" w:rsidRPr="00000000" w14:paraId="0000001B">
      <w:pPr>
        <w:numPr>
          <w:ilvl w:val="0"/>
          <w:numId w:val="4"/>
        </w:numPr>
        <w:ind w:left="1320" w:right="600" w:hanging="360"/>
        <w:jc w:val="both"/>
        <w:rPr>
          <w:sz w:val="24"/>
          <w:szCs w:val="24"/>
        </w:rPr>
      </w:pPr>
      <w:r w:rsidDel="00000000" w:rsidR="00000000" w:rsidRPr="00000000">
        <w:rPr>
          <w:sz w:val="24"/>
          <w:szCs w:val="24"/>
          <w:rtl w:val="0"/>
        </w:rPr>
        <w:t xml:space="preserve">Service issues: Monday to Thursday from 9:00 to 17:00 CET/CEST time, Friday from 9:00 to 14:00 CET/CEST.</w:t>
      </w:r>
    </w:p>
    <w:p w:rsidR="00000000" w:rsidDel="00000000" w:rsidP="00000000" w:rsidRDefault="00000000" w:rsidRPr="00000000" w14:paraId="0000001C">
      <w:pPr>
        <w:numPr>
          <w:ilvl w:val="0"/>
          <w:numId w:val="4"/>
        </w:numPr>
        <w:ind w:left="1320" w:right="600" w:hanging="360"/>
        <w:jc w:val="both"/>
        <w:rPr>
          <w:sz w:val="24"/>
          <w:szCs w:val="24"/>
        </w:rPr>
      </w:pPr>
      <w:r w:rsidDel="00000000" w:rsidR="00000000" w:rsidRPr="00000000">
        <w:rPr>
          <w:sz w:val="24"/>
          <w:szCs w:val="24"/>
          <w:rtl w:val="0"/>
        </w:rPr>
        <w:t xml:space="preserve">This excludes public holidays at the same time in the organization providing the service.</w:t>
      </w:r>
    </w:p>
    <w:p w:rsidR="00000000" w:rsidDel="00000000" w:rsidP="00000000" w:rsidRDefault="00000000" w:rsidRPr="00000000" w14:paraId="0000001D">
      <w:pPr>
        <w:spacing w:before="120" w:line="312" w:lineRule="auto"/>
        <w:ind w:left="600" w:right="600" w:firstLine="0"/>
        <w:jc w:val="both"/>
        <w:rPr>
          <w:sz w:val="24"/>
          <w:szCs w:val="24"/>
        </w:rPr>
      </w:pPr>
      <w:r w:rsidDel="00000000" w:rsidR="00000000" w:rsidRPr="00000000">
        <w:rPr>
          <w:sz w:val="24"/>
          <w:szCs w:val="24"/>
          <w:rtl w:val="0"/>
        </w:rPr>
        <w:t xml:space="preserve">The Quality of Support level in terms of response time and resolution is defined as follows:</w:t>
      </w:r>
    </w:p>
    <w:p w:rsidR="00000000" w:rsidDel="00000000" w:rsidP="00000000" w:rsidRDefault="00000000" w:rsidRPr="00000000" w14:paraId="0000001E">
      <w:pPr>
        <w:numPr>
          <w:ilvl w:val="0"/>
          <w:numId w:val="6"/>
        </w:numPr>
        <w:ind w:left="1440" w:right="600" w:hanging="360"/>
        <w:jc w:val="both"/>
        <w:rPr>
          <w:sz w:val="24"/>
          <w:szCs w:val="24"/>
        </w:rPr>
      </w:pPr>
      <w:r w:rsidDel="00000000" w:rsidR="00000000" w:rsidRPr="00000000">
        <w:rPr>
          <w:sz w:val="24"/>
          <w:szCs w:val="24"/>
          <w:rtl w:val="0"/>
        </w:rPr>
        <w:t xml:space="preserve">Low priority, max 5 working days.</w:t>
      </w:r>
    </w:p>
    <w:p w:rsidR="00000000" w:rsidDel="00000000" w:rsidP="00000000" w:rsidRDefault="00000000" w:rsidRPr="00000000" w14:paraId="0000001F">
      <w:pPr>
        <w:numPr>
          <w:ilvl w:val="0"/>
          <w:numId w:val="6"/>
        </w:numPr>
        <w:ind w:left="1440" w:right="600" w:hanging="360"/>
        <w:jc w:val="both"/>
        <w:rPr>
          <w:sz w:val="24"/>
          <w:szCs w:val="24"/>
        </w:rPr>
      </w:pPr>
      <w:r w:rsidDel="00000000" w:rsidR="00000000" w:rsidRPr="00000000">
        <w:rPr>
          <w:sz w:val="24"/>
          <w:szCs w:val="24"/>
          <w:rtl w:val="0"/>
        </w:rPr>
        <w:t xml:space="preserve">Normal, max 2 working days. </w:t>
      </w:r>
    </w:p>
    <w:p w:rsidR="00000000" w:rsidDel="00000000" w:rsidP="00000000" w:rsidRDefault="00000000" w:rsidRPr="00000000" w14:paraId="00000020">
      <w:pPr>
        <w:numPr>
          <w:ilvl w:val="0"/>
          <w:numId w:val="6"/>
        </w:numPr>
        <w:ind w:left="1440" w:right="600" w:hanging="360"/>
        <w:jc w:val="both"/>
        <w:rPr>
          <w:sz w:val="24"/>
          <w:szCs w:val="24"/>
        </w:rPr>
      </w:pPr>
      <w:r w:rsidDel="00000000" w:rsidR="00000000" w:rsidRPr="00000000">
        <w:rPr>
          <w:sz w:val="24"/>
          <w:szCs w:val="24"/>
          <w:rtl w:val="0"/>
        </w:rPr>
        <w:t xml:space="preserve">High, max 1 working day.</w:t>
      </w:r>
    </w:p>
    <w:p w:rsidR="00000000" w:rsidDel="00000000" w:rsidP="00000000" w:rsidRDefault="00000000" w:rsidRPr="00000000" w14:paraId="00000021">
      <w:pPr>
        <w:spacing w:before="120" w:line="312" w:lineRule="auto"/>
        <w:ind w:left="600" w:right="600" w:firstLine="0"/>
        <w:jc w:val="both"/>
        <w:rPr>
          <w:sz w:val="24"/>
          <w:szCs w:val="24"/>
        </w:rPr>
      </w:pPr>
      <w:r w:rsidDel="00000000" w:rsidR="00000000" w:rsidRPr="00000000">
        <w:rPr>
          <w:sz w:val="24"/>
          <w:szCs w:val="24"/>
          <w:rtl w:val="0"/>
        </w:rPr>
        <w:t xml:space="preserve">Any unsuccessful termination of a request should be clearly justified and documented.</w:t>
      </w:r>
    </w:p>
    <w:p w:rsidR="00000000" w:rsidDel="00000000" w:rsidP="00000000" w:rsidRDefault="00000000" w:rsidRPr="00000000" w14:paraId="00000022">
      <w:pPr>
        <w:pStyle w:val="Heading1"/>
        <w:spacing w:after="120" w:before="360" w:line="312" w:lineRule="auto"/>
        <w:ind w:left="600" w:right="600" w:firstLine="0"/>
        <w:rPr/>
      </w:pPr>
      <w:bookmarkStart w:colFirst="0" w:colLast="0" w:name="_sses0ja5ui2h" w:id="2"/>
      <w:bookmarkEnd w:id="2"/>
      <w:r w:rsidDel="00000000" w:rsidR="00000000" w:rsidRPr="00000000">
        <w:rPr>
          <w:rtl w:val="0"/>
        </w:rPr>
        <w:t xml:space="preserve">Availability and Reliability</w:t>
      </w:r>
    </w:p>
    <w:p w:rsidR="00000000" w:rsidDel="00000000" w:rsidP="00000000" w:rsidRDefault="00000000" w:rsidRPr="00000000" w14:paraId="00000023">
      <w:pPr>
        <w:spacing w:after="120" w:line="310.79999999999995" w:lineRule="auto"/>
        <w:ind w:left="600" w:right="600" w:firstLine="0"/>
        <w:jc w:val="both"/>
        <w:rPr>
          <w:sz w:val="24"/>
          <w:szCs w:val="24"/>
        </w:rPr>
      </w:pPr>
      <w:r w:rsidDel="00000000" w:rsidR="00000000" w:rsidRPr="00000000">
        <w:rPr>
          <w:sz w:val="24"/>
          <w:szCs w:val="24"/>
          <w:rtl w:val="0"/>
        </w:rPr>
        <w:t xml:space="preserve">The Service level will be:</w:t>
      </w:r>
    </w:p>
    <w:p w:rsidR="00000000" w:rsidDel="00000000" w:rsidP="00000000" w:rsidRDefault="00000000" w:rsidRPr="00000000" w14:paraId="00000024">
      <w:pPr>
        <w:numPr>
          <w:ilvl w:val="0"/>
          <w:numId w:val="3"/>
        </w:numPr>
        <w:ind w:left="1320" w:right="600" w:hanging="360"/>
        <w:jc w:val="both"/>
        <w:rPr>
          <w:sz w:val="24"/>
          <w:szCs w:val="24"/>
        </w:rPr>
      </w:pPr>
      <w:r w:rsidDel="00000000" w:rsidR="00000000" w:rsidRPr="00000000">
        <w:rPr>
          <w:sz w:val="24"/>
          <w:szCs w:val="24"/>
          <w:rtl w:val="0"/>
        </w:rPr>
        <w:t xml:space="preserve">Monthly Availability defined as the ability of a service or service component to fulfil its intended function at a specific time or over a calendar month. </w:t>
      </w:r>
    </w:p>
    <w:p w:rsidR="00000000" w:rsidDel="00000000" w:rsidP="00000000" w:rsidRDefault="00000000" w:rsidRPr="00000000" w14:paraId="00000025">
      <w:pPr>
        <w:numPr>
          <w:ilvl w:val="1"/>
          <w:numId w:val="3"/>
        </w:numPr>
        <w:ind w:left="2040" w:right="600" w:hanging="360"/>
        <w:jc w:val="both"/>
        <w:rPr>
          <w:sz w:val="24"/>
          <w:szCs w:val="24"/>
        </w:rPr>
      </w:pPr>
      <w:r w:rsidDel="00000000" w:rsidR="00000000" w:rsidRPr="00000000">
        <w:rPr>
          <w:sz w:val="24"/>
          <w:szCs w:val="24"/>
          <w:rtl w:val="0"/>
        </w:rPr>
        <w:t xml:space="preserve">Average service level target (as a percentage per month): 90%</w:t>
      </w:r>
    </w:p>
    <w:p w:rsidR="00000000" w:rsidDel="00000000" w:rsidP="00000000" w:rsidRDefault="00000000" w:rsidRPr="00000000" w14:paraId="00000026">
      <w:pPr>
        <w:numPr>
          <w:ilvl w:val="1"/>
          <w:numId w:val="3"/>
        </w:numPr>
        <w:ind w:left="2040" w:right="600" w:hanging="360"/>
        <w:jc w:val="both"/>
        <w:rPr>
          <w:sz w:val="24"/>
          <w:szCs w:val="24"/>
        </w:rPr>
      </w:pPr>
      <w:r w:rsidDel="00000000" w:rsidR="00000000" w:rsidRPr="00000000">
        <w:rPr>
          <w:sz w:val="24"/>
          <w:szCs w:val="24"/>
          <w:rtl w:val="0"/>
        </w:rPr>
        <w:t xml:space="preserve">Minimum (as a percentage per month): 80%</w:t>
      </w:r>
    </w:p>
    <w:p w:rsidR="00000000" w:rsidDel="00000000" w:rsidP="00000000" w:rsidRDefault="00000000" w:rsidRPr="00000000" w14:paraId="00000027">
      <w:pPr>
        <w:numPr>
          <w:ilvl w:val="0"/>
          <w:numId w:val="3"/>
        </w:numPr>
        <w:spacing w:before="120" w:lineRule="auto"/>
        <w:ind w:left="1320" w:right="600" w:hanging="360"/>
        <w:jc w:val="both"/>
        <w:rPr>
          <w:sz w:val="24"/>
          <w:szCs w:val="24"/>
        </w:rPr>
      </w:pPr>
      <w:r w:rsidDel="00000000" w:rsidR="00000000" w:rsidRPr="00000000">
        <w:rPr>
          <w:sz w:val="24"/>
          <w:szCs w:val="24"/>
          <w:rtl w:val="0"/>
        </w:rPr>
        <w:t xml:space="preserve">Monthly Reliability, defined as the ability of a service or service component to fulfil its intended function at a specific time or over a calendar month, excluding scheduled maintenance periods.</w:t>
      </w:r>
    </w:p>
    <w:p w:rsidR="00000000" w:rsidDel="00000000" w:rsidP="00000000" w:rsidRDefault="00000000" w:rsidRPr="00000000" w14:paraId="00000028">
      <w:pPr>
        <w:numPr>
          <w:ilvl w:val="1"/>
          <w:numId w:val="3"/>
        </w:numPr>
        <w:ind w:left="2040" w:right="600" w:hanging="360"/>
        <w:jc w:val="both"/>
        <w:rPr>
          <w:sz w:val="24"/>
          <w:szCs w:val="24"/>
        </w:rPr>
      </w:pPr>
      <w:r w:rsidDel="00000000" w:rsidR="00000000" w:rsidRPr="00000000">
        <w:rPr>
          <w:sz w:val="24"/>
          <w:szCs w:val="24"/>
          <w:rtl w:val="0"/>
        </w:rPr>
        <w:t xml:space="preserve">Average service level target (as a percentage per month): 95%</w:t>
      </w:r>
    </w:p>
    <w:p w:rsidR="00000000" w:rsidDel="00000000" w:rsidP="00000000" w:rsidRDefault="00000000" w:rsidRPr="00000000" w14:paraId="00000029">
      <w:pPr>
        <w:numPr>
          <w:ilvl w:val="1"/>
          <w:numId w:val="3"/>
        </w:numPr>
        <w:ind w:left="2040" w:right="600" w:hanging="360"/>
        <w:jc w:val="both"/>
        <w:rPr>
          <w:sz w:val="24"/>
          <w:szCs w:val="24"/>
        </w:rPr>
      </w:pPr>
      <w:r w:rsidDel="00000000" w:rsidR="00000000" w:rsidRPr="00000000">
        <w:rPr>
          <w:sz w:val="24"/>
          <w:szCs w:val="24"/>
          <w:rtl w:val="0"/>
        </w:rPr>
        <w:t xml:space="preserve">Minimum (as a percentage per month): 85%</w:t>
      </w:r>
    </w:p>
    <w:p w:rsidR="00000000" w:rsidDel="00000000" w:rsidP="00000000" w:rsidRDefault="00000000" w:rsidRPr="00000000" w14:paraId="0000002A">
      <w:pPr>
        <w:spacing w:after="120" w:before="120" w:line="310.79999999999995" w:lineRule="auto"/>
        <w:ind w:left="600" w:right="600" w:firstLine="0"/>
        <w:jc w:val="both"/>
        <w:rPr>
          <w:sz w:val="24"/>
          <w:szCs w:val="24"/>
        </w:rPr>
      </w:pPr>
      <w:r w:rsidDel="00000000" w:rsidR="00000000" w:rsidRPr="00000000">
        <w:rPr>
          <w:sz w:val="24"/>
          <w:szCs w:val="24"/>
          <w:rtl w:val="0"/>
        </w:rPr>
        <w:t xml:space="preserve">The provisioning of the service under the agreed service level targets is subject to the following limitations and constraints:</w:t>
      </w:r>
    </w:p>
    <w:p w:rsidR="00000000" w:rsidDel="00000000" w:rsidP="00000000" w:rsidRDefault="00000000" w:rsidRPr="00000000" w14:paraId="0000002B">
      <w:pPr>
        <w:numPr>
          <w:ilvl w:val="0"/>
          <w:numId w:val="1"/>
        </w:numPr>
        <w:ind w:left="1320" w:right="600" w:hanging="360"/>
        <w:jc w:val="both"/>
        <w:rPr>
          <w:sz w:val="24"/>
          <w:szCs w:val="24"/>
        </w:rPr>
      </w:pPr>
      <w:r w:rsidDel="00000000" w:rsidR="00000000" w:rsidRPr="00000000">
        <w:rPr>
          <w:sz w:val="24"/>
          <w:szCs w:val="24"/>
          <w:rtl w:val="0"/>
        </w:rPr>
        <w:t xml:space="preserve">Support is provided in the following languages: Spanish and English.</w:t>
      </w:r>
    </w:p>
    <w:p w:rsidR="00000000" w:rsidDel="00000000" w:rsidP="00000000" w:rsidRDefault="00000000" w:rsidRPr="00000000" w14:paraId="0000002C">
      <w:pPr>
        <w:numPr>
          <w:ilvl w:val="0"/>
          <w:numId w:val="1"/>
        </w:numPr>
        <w:ind w:left="1320" w:right="600" w:hanging="360"/>
        <w:jc w:val="both"/>
        <w:rPr>
          <w:sz w:val="24"/>
          <w:szCs w:val="24"/>
        </w:rPr>
      </w:pPr>
      <w:r w:rsidDel="00000000" w:rsidR="00000000" w:rsidRPr="00000000">
        <w:rPr>
          <w:sz w:val="24"/>
          <w:szCs w:val="24"/>
          <w:rtl w:val="0"/>
        </w:rPr>
        <w:t xml:space="preserve">Downtimes caused due to upgrades for fixing critical security issues are not considered Agreement violations.</w:t>
      </w:r>
    </w:p>
    <w:p w:rsidR="00000000" w:rsidDel="00000000" w:rsidP="00000000" w:rsidRDefault="00000000" w:rsidRPr="00000000" w14:paraId="0000002D">
      <w:pPr>
        <w:numPr>
          <w:ilvl w:val="0"/>
          <w:numId w:val="1"/>
        </w:numPr>
        <w:ind w:left="1320" w:right="600" w:hanging="360"/>
        <w:jc w:val="both"/>
        <w:rPr>
          <w:sz w:val="24"/>
          <w:szCs w:val="24"/>
        </w:rPr>
      </w:pPr>
      <w:r w:rsidDel="00000000" w:rsidR="00000000" w:rsidRPr="00000000">
        <w:rPr>
          <w:sz w:val="24"/>
          <w:szCs w:val="24"/>
          <w:rtl w:val="0"/>
        </w:rPr>
        <w:t xml:space="preserve">Force Majeure. A party shall not be liable for any failure of or delay in the performance of this Agreement for the period that such failure or delay is due to causes beyond its reasonable control. Means any Fire, flood, earthquake or natural phenomena, War, embargo, riot, civil disorder, rebellion, revolution which is beyond the Providers’ control, or any other causes beyond the Providers’ control.</w:t>
      </w:r>
    </w:p>
    <w:p w:rsidR="00000000" w:rsidDel="00000000" w:rsidP="00000000" w:rsidRDefault="00000000" w:rsidRPr="00000000" w14:paraId="0000002E">
      <w:pPr>
        <w:pStyle w:val="Heading1"/>
        <w:rPr/>
      </w:pPr>
      <w:bookmarkStart w:colFirst="0" w:colLast="0" w:name="_ivhesia40q3k" w:id="3"/>
      <w:bookmarkEnd w:id="3"/>
      <w:r w:rsidDel="00000000" w:rsidR="00000000" w:rsidRPr="00000000">
        <w:rPr>
          <w:rtl w:val="0"/>
        </w:rPr>
        <w:t xml:space="preserve">Contact</w:t>
      </w:r>
    </w:p>
    <w:p w:rsidR="00000000" w:rsidDel="00000000" w:rsidP="00000000" w:rsidRDefault="00000000" w:rsidRPr="00000000" w14:paraId="0000002F">
      <w:pPr>
        <w:spacing w:after="120" w:line="310.79999999999995" w:lineRule="auto"/>
        <w:ind w:left="600" w:right="600" w:firstLine="0"/>
        <w:jc w:val="both"/>
        <w:rPr>
          <w:sz w:val="24"/>
          <w:szCs w:val="24"/>
        </w:rPr>
      </w:pPr>
      <w:r w:rsidDel="00000000" w:rsidR="00000000" w:rsidRPr="00000000">
        <w:rPr>
          <w:sz w:val="24"/>
          <w:szCs w:val="24"/>
          <w:rtl w:val="0"/>
        </w:rPr>
        <w:t xml:space="preserve">The </w:t>
      </w:r>
      <w:r w:rsidDel="00000000" w:rsidR="00000000" w:rsidRPr="00000000">
        <w:rPr>
          <w:sz w:val="24"/>
          <w:szCs w:val="24"/>
          <w:highlight w:val="yellow"/>
          <w:rtl w:val="0"/>
        </w:rPr>
        <w:t xml:space="preserve">&lt;NAME OF THE PROVIDER NODE&gt; </w:t>
      </w:r>
      <w:r w:rsidDel="00000000" w:rsidR="00000000" w:rsidRPr="00000000">
        <w:rPr>
          <w:sz w:val="24"/>
          <w:szCs w:val="24"/>
          <w:rtl w:val="0"/>
        </w:rPr>
        <w:t xml:space="preserve">defines the following contact points:</w:t>
      </w:r>
    </w:p>
    <w:p w:rsidR="00000000" w:rsidDel="00000000" w:rsidP="00000000" w:rsidRDefault="00000000" w:rsidRPr="00000000" w14:paraId="00000030">
      <w:pPr>
        <w:numPr>
          <w:ilvl w:val="0"/>
          <w:numId w:val="1"/>
        </w:numPr>
        <w:ind w:left="1320" w:right="600" w:hanging="360"/>
        <w:jc w:val="both"/>
        <w:rPr>
          <w:sz w:val="24"/>
          <w:szCs w:val="24"/>
        </w:rPr>
      </w:pPr>
      <w:r w:rsidDel="00000000" w:rsidR="00000000" w:rsidRPr="00000000">
        <w:rPr>
          <w:sz w:val="24"/>
          <w:szCs w:val="24"/>
          <w:rtl w:val="0"/>
        </w:rPr>
        <w:t xml:space="preserve">Responsible Person of the platform: </w:t>
      </w:r>
      <w:r w:rsidDel="00000000" w:rsidR="00000000" w:rsidRPr="00000000">
        <w:rPr>
          <w:sz w:val="24"/>
          <w:szCs w:val="24"/>
          <w:highlight w:val="yellow"/>
          <w:rtl w:val="0"/>
        </w:rPr>
        <w:t xml:space="preserve">&lt;Name, position and e-mail&gt;</w:t>
      </w:r>
      <w:r w:rsidDel="00000000" w:rsidR="00000000" w:rsidRPr="00000000">
        <w:rPr>
          <w:rtl w:val="0"/>
        </w:rPr>
      </w:r>
    </w:p>
    <w:p w:rsidR="00000000" w:rsidDel="00000000" w:rsidP="00000000" w:rsidRDefault="00000000" w:rsidRPr="00000000" w14:paraId="00000031">
      <w:pPr>
        <w:numPr>
          <w:ilvl w:val="0"/>
          <w:numId w:val="1"/>
        </w:numPr>
        <w:ind w:left="1320" w:right="600" w:hanging="360"/>
        <w:jc w:val="both"/>
        <w:rPr>
          <w:sz w:val="24"/>
          <w:szCs w:val="24"/>
        </w:rPr>
      </w:pPr>
      <w:r w:rsidDel="00000000" w:rsidR="00000000" w:rsidRPr="00000000">
        <w:rPr>
          <w:sz w:val="24"/>
          <w:szCs w:val="24"/>
          <w:rtl w:val="0"/>
        </w:rPr>
        <w:t xml:space="preserve">Responsible Person of the datasets: </w:t>
      </w:r>
      <w:r w:rsidDel="00000000" w:rsidR="00000000" w:rsidRPr="00000000">
        <w:rPr>
          <w:sz w:val="24"/>
          <w:szCs w:val="24"/>
          <w:highlight w:val="yellow"/>
          <w:rtl w:val="0"/>
        </w:rPr>
        <w:t xml:space="preserve">&lt;Name, position and e-mail&gt;</w:t>
      </w:r>
      <w:r w:rsidDel="00000000" w:rsidR="00000000" w:rsidRPr="00000000">
        <w:rPr>
          <w:rtl w:val="0"/>
        </w:rPr>
      </w:r>
    </w:p>
    <w:p w:rsidR="00000000" w:rsidDel="00000000" w:rsidP="00000000" w:rsidRDefault="00000000" w:rsidRPr="00000000" w14:paraId="00000032">
      <w:pPr>
        <w:numPr>
          <w:ilvl w:val="0"/>
          <w:numId w:val="1"/>
        </w:numPr>
        <w:ind w:left="1320" w:right="600" w:hanging="360"/>
        <w:jc w:val="both"/>
        <w:rPr>
          <w:sz w:val="24"/>
          <w:szCs w:val="24"/>
        </w:rPr>
      </w:pPr>
      <w:r w:rsidDel="00000000" w:rsidR="00000000" w:rsidRPr="00000000">
        <w:rPr>
          <w:sz w:val="24"/>
          <w:szCs w:val="24"/>
          <w:rtl w:val="0"/>
        </w:rPr>
        <w:t xml:space="preserve">Technical Contact point: </w:t>
      </w:r>
      <w:r w:rsidDel="00000000" w:rsidR="00000000" w:rsidRPr="00000000">
        <w:rPr>
          <w:sz w:val="24"/>
          <w:szCs w:val="24"/>
          <w:highlight w:val="yellow"/>
          <w:rtl w:val="0"/>
        </w:rPr>
        <w:t xml:space="preserve">&lt;Name, position and e-mail&gt;</w:t>
      </w:r>
      <w:r w:rsidDel="00000000" w:rsidR="00000000" w:rsidRPr="00000000">
        <w:rPr>
          <w:rtl w:val="0"/>
        </w:rPr>
      </w:r>
    </w:p>
    <w:p w:rsidR="00000000" w:rsidDel="00000000" w:rsidP="00000000" w:rsidRDefault="00000000" w:rsidRPr="00000000" w14:paraId="00000033">
      <w:pPr>
        <w:numPr>
          <w:ilvl w:val="0"/>
          <w:numId w:val="1"/>
        </w:numPr>
        <w:ind w:left="1320" w:right="600" w:hanging="360"/>
        <w:jc w:val="both"/>
        <w:rPr>
          <w:sz w:val="24"/>
          <w:szCs w:val="24"/>
        </w:rPr>
      </w:pPr>
      <w:r w:rsidDel="00000000" w:rsidR="00000000" w:rsidRPr="00000000">
        <w:rPr>
          <w:sz w:val="24"/>
          <w:szCs w:val="24"/>
          <w:rtl w:val="0"/>
        </w:rPr>
        <w:t xml:space="preserve">Security Contact point:</w:t>
      </w:r>
      <w:r w:rsidDel="00000000" w:rsidR="00000000" w:rsidRPr="00000000">
        <w:rPr>
          <w:sz w:val="24"/>
          <w:szCs w:val="24"/>
          <w:highlight w:val="yellow"/>
          <w:rtl w:val="0"/>
        </w:rPr>
        <w:t xml:space="preserve"> &lt;Name, position and e-mail&gt;</w:t>
      </w:r>
    </w:p>
    <w:p w:rsidR="00000000" w:rsidDel="00000000" w:rsidP="00000000" w:rsidRDefault="00000000" w:rsidRPr="00000000" w14:paraId="00000034">
      <w:pPr>
        <w:spacing w:after="120" w:line="310.79999999999995" w:lineRule="auto"/>
        <w:ind w:left="0" w:right="600" w:firstLine="0"/>
        <w:jc w:val="both"/>
        <w:rPr>
          <w:sz w:val="24"/>
          <w:szCs w:val="24"/>
        </w:rPr>
      </w:pPr>
      <w:r w:rsidDel="00000000" w:rsidR="00000000" w:rsidRPr="00000000">
        <w:rPr>
          <w:rtl w:val="0"/>
        </w:rPr>
      </w:r>
    </w:p>
    <w:p w:rsidR="00000000" w:rsidDel="00000000" w:rsidP="00000000" w:rsidRDefault="00000000" w:rsidRPr="00000000" w14:paraId="00000035">
      <w:pPr>
        <w:spacing w:after="120" w:line="310.79999999999995" w:lineRule="auto"/>
        <w:ind w:left="600" w:right="600" w:firstLine="0"/>
        <w:jc w:val="both"/>
        <w:rPr/>
      </w:pPr>
      <w:r w:rsidDel="00000000" w:rsidR="00000000" w:rsidRPr="00000000">
        <w:rPr>
          <w:sz w:val="24"/>
          <w:szCs w:val="24"/>
          <w:rtl w:val="0"/>
        </w:rPr>
        <w:t xml:space="preserve">Additionally, the users of the platform could contact the platform staff for general matters by email to </w:t>
      </w:r>
      <w:r w:rsidDel="00000000" w:rsidR="00000000" w:rsidRPr="00000000">
        <w:rPr>
          <w:sz w:val="24"/>
          <w:szCs w:val="24"/>
          <w:highlight w:val="yellow"/>
          <w:rtl w:val="0"/>
        </w:rPr>
        <w:t xml:space="preserve">&lt;contact-email&gt;</w:t>
      </w:r>
      <w:r w:rsidDel="00000000" w:rsidR="00000000" w:rsidRPr="00000000">
        <w:rPr>
          <w:sz w:val="24"/>
          <w:szCs w:val="24"/>
          <w:rtl w:val="0"/>
        </w:rPr>
        <w:t xml:space="preserve"> and/or through the </w:t>
      </w:r>
      <w:r w:rsidDel="00000000" w:rsidR="00000000" w:rsidRPr="00000000">
        <w:rPr>
          <w:sz w:val="24"/>
          <w:szCs w:val="24"/>
          <w:highlight w:val="yellow"/>
          <w:rtl w:val="0"/>
        </w:rPr>
        <w:t xml:space="preserve">&lt;issue-tracker&gt;</w:t>
      </w:r>
      <w:r w:rsidDel="00000000" w:rsidR="00000000" w:rsidRPr="00000000">
        <w:rPr>
          <w:sz w:val="24"/>
          <w:szCs w:val="24"/>
          <w:rtl w:val="0"/>
        </w:rPr>
        <w:t xml:space="preserve"> or by regular mail at </w:t>
      </w:r>
      <w:r w:rsidDel="00000000" w:rsidR="00000000" w:rsidRPr="00000000">
        <w:rPr>
          <w:sz w:val="24"/>
          <w:szCs w:val="24"/>
          <w:highlight w:val="yellow"/>
          <w:rtl w:val="0"/>
        </w:rPr>
        <w:t xml:space="preserve">&lt;regular mail address&gt;</w:t>
      </w:r>
      <w:r w:rsidDel="00000000" w:rsidR="00000000" w:rsidRPr="00000000">
        <w:rPr>
          <w:sz w:val="24"/>
          <w:szCs w:val="24"/>
          <w:rtl w:val="0"/>
        </w:rPr>
        <w:t xml:space="preserve">. This will be used only under the failure of the issue tracker services. The Quality of Service Response times do not apply to these alternative communication means.</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312" w:lineRule="auto"/>
      <w:ind w:left="600" w:right="600" w:firstLine="0"/>
      <w:jc w:val="both"/>
    </w:pPr>
    <w:rPr>
      <w:i w:val="1"/>
      <w:sz w:val="28"/>
      <w:szCs w:val="28"/>
    </w:rPr>
  </w:style>
  <w:style w:type="paragraph" w:styleId="Heading2">
    <w:name w:val="heading 2"/>
    <w:basedOn w:val="Normal"/>
    <w:next w:val="Normal"/>
    <w:pPr>
      <w:keepNext w:val="1"/>
      <w:keepLines w:val="1"/>
      <w:spacing w:after="120" w:before="240" w:line="312" w:lineRule="auto"/>
      <w:ind w:left="600" w:right="600" w:firstLine="0"/>
      <w:jc w:val="both"/>
    </w:pPr>
    <w:rPr>
      <w:i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